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ROSCI0192ZPB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Păștera Măgurici</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350758506"/>
          <w:tag w:val="goog_rdk_0"/>
        </w:sdtPr>
        <w:sdtContent>
          <w:r>
            <w:rPr>
              <w:rFonts w:ascii="Arial Unicode MS" w:cs="Arial Unicode MS" w:eastAsia="Arial Unicode MS" w:hAnsi="Arial Unicode MS"/>
              <w:sz w:val="22"/>
              <w:szCs w:val="22"/>
              <w:rtl w:val="0"/>
            </w:rPr>
            <w:t xml:space="preserve">☑ </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50561747"/>
          <w:tag w:val="goog_rdk_1"/>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733311039"/>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3,34</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3,71%</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 - 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Sălaj</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417924078"/>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sdt>
              <w:sdtPr>
                <w:id w:val="-932616035"/>
                <w:tag w:val="goog_rdk_4"/>
              </w:sdtPr>
              <w:sdtContent>
                <w:r>
                  <w:rPr>
                    <w:rFonts w:ascii="Arial Unicode MS" w:cs="Arial Unicode MS" w:eastAsia="Arial Unicode MS" w:hAnsi="Arial Unicode MS"/>
                    <w:sz w:val="22"/>
                    <w:szCs w:val="22"/>
                    <w:rtl w:val="0"/>
                  </w:rPr>
                  <w:t xml:space="preserve">☑ </w:t>
                </w:r>
              </w:sdtContent>
            </w:sdt>
            <w:r>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503000936"/>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416175769"/>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1339186900"/>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1903946506"/>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3,34</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RONPA0851 Peștera Măgurici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Hotărârea Guvernului României nr. 2151/2004 privind instituirea regimului de arie naturală protejată pentru noi zone*):</w:t>
      </w:r>
      <w:r>
        <w:rPr>
          <w:rtl w:val="0"/>
        </w:rPr>
        <w:t xml:space="preserve"> </w:t>
      </w:r>
      <w:r>
        <w:rPr>
          <w:sz w:val="22"/>
          <w:szCs w:val="22"/>
          <w:rtl w:val="0"/>
        </w:rPr>
        <w:t xml:space="preserve">Peştera Măgurici</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Pr>
          <w:sz w:val="22"/>
          <w:szCs w:val="22"/>
          <w:rtl w:val="0"/>
        </w:rPr>
        <w:t xml:space="preserve">Informația ecologică</w:t>
      </w:r>
    </w:p>
    <w:p w:rsidR="00000000" w:rsidDel="00000000" w:rsidP="00000000" w:rsidRDefault="00000000" w:rsidRPr="00000000" w14:paraId="00000068">
      <w:pPr>
        <w:spacing w:after="0" w:before="160" w:line="300" w:lineRule="auto"/>
        <w:rPr>
          <w:sz w:val="22"/>
          <w:szCs w:val="22"/>
        </w:rPr>
      </w:pPr>
      <w:r>
        <w:rPr>
          <w:rtl w:val="0"/>
        </w:rPr>
      </w:r>
    </w:p>
    <w:tbl>
      <w:tblPr>
        <w:tblStyle w:val="Table8"/>
        <w:tblW w:w="8964.0" w:type="dxa"/>
        <w:jc w:val="left"/>
        <w:tblInd w:w="10.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6D">
            <w:pPr>
              <w:spacing w:after="0" w:line="300" w:lineRule="auto"/>
              <w:jc w:val="both"/>
              <w:rPr>
                <w:sz w:val="22"/>
                <w:szCs w:val="22"/>
              </w:rPr>
            </w:pPr>
            <w:r>
              <w:rPr>
                <w:sz w:val="22"/>
                <w:szCs w:val="22"/>
                <w:rtl w:val="0"/>
              </w:rPr>
              <w:t xml:space="preserve">9130 Păduri de fag de tip Asperulo-Fagetum</w:t>
            </w:r>
          </w:p>
          <w:p w:rsidR="00000000" w:rsidDel="00000000" w:rsidP="00000000" w:rsidRDefault="00000000" w:rsidRPr="00000000" w14:paraId="0000006E">
            <w:pPr>
              <w:spacing w:after="0" w:line="300" w:lineRule="auto"/>
              <w:jc w:val="both"/>
              <w:rPr>
                <w:b w:val="1"/>
                <w:bCs w:val="1"/>
                <w:sz w:val="22"/>
                <w:szCs w:val="22"/>
              </w:rPr>
            </w:pPr>
            <w:r>
              <w:rPr>
                <w:b w:val="1"/>
                <w:bCs w:val="1"/>
                <w:sz w:val="22"/>
                <w:szCs w:val="22"/>
                <w:rtl w:val="0"/>
              </w:rPr>
              <w:t xml:space="preserve">Habitate de peșteri:</w:t>
            </w:r>
          </w:p>
          <w:p w:rsidR="00000000" w:rsidDel="00000000" w:rsidP="00000000" w:rsidRDefault="00000000" w:rsidRPr="00000000" w14:paraId="0000006F">
            <w:pPr>
              <w:spacing w:after="0" w:line="300" w:lineRule="auto"/>
              <w:jc w:val="both"/>
              <w:rPr>
                <w:sz w:val="22"/>
                <w:szCs w:val="22"/>
              </w:rPr>
            </w:pPr>
            <w:r>
              <w:rPr>
                <w:sz w:val="22"/>
                <w:szCs w:val="22"/>
                <w:rtl w:val="0"/>
              </w:rPr>
              <w:t xml:space="preserve">8310 Peșteri în care accesul publicului este interzis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1310 Miniopterus schreibersii</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1307 Myotis blythii</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1324 Myotis myotis</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1304 Rhinolophus ferrumequinum</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1303 Rhinolophus hipposideros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79">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7A">
            <w:pPr>
              <w:jc w:val="both"/>
              <w:rPr/>
            </w:pPr>
            <w:r>
              <w:rPr>
                <w:sz w:val="22"/>
                <w:szCs w:val="22"/>
                <w:rtl w:val="0"/>
              </w:rPr>
              <w:t xml:space="preserve">Zona include habitate subterane caracterizate prin stabilitate microclimatică și vulnerabilitate ridicată la perturbări, cu rol esențial în conservarea biodiversității asociate mediului cavernicol și în menținerea proceselor ecologice specifice ecosistemelor subterane.</w:t>
            </w:r>
            <w:r>
              <w:rPr>
                <w:rtl w:val="0"/>
              </w:rPr>
            </w:r>
          </w:p>
          <w:p w:rsidR="00000000" w:rsidDel="00000000" w:rsidP="00000000" w:rsidRDefault="00000000" w:rsidRPr="00000000" w14:paraId="0000007B">
            <w:pPr>
              <w:jc w:val="both"/>
              <w:rPr/>
            </w:pPr>
            <w:r>
              <w:rPr>
                <w:sz w:val="22"/>
                <w:szCs w:val="22"/>
                <w:rtl w:val="0"/>
              </w:rPr>
              <w:t xml:space="preserve">Desemnarea ca ZPB se fundamentează pe criteriul stabilit de metodologie pentru monumente ale naturii,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300" w:lineRule="auto"/>
              <w:rPr>
                <w:sz w:val="22"/>
                <w:szCs w:val="22"/>
              </w:rPr>
            </w:pPr>
            <w:r>
              <w:rPr>
                <w:sz w:val="22"/>
                <w:szCs w:val="22"/>
                <w:rtl w:val="0"/>
              </w:rPr>
              <w:t xml:space="preserve">Nu este cazul</w:t>
            </w:r>
          </w:p>
          <w:p w:rsidR="00000000" w:rsidDel="00000000" w:rsidP="00000000" w:rsidRDefault="00000000" w:rsidRPr="00000000" w14:paraId="0000007E">
            <w:pPr>
              <w:spacing w:after="0" w:line="300" w:lineRule="auto"/>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jc w:val="both"/>
              <w:rPr>
                <w:sz w:val="22"/>
                <w:szCs w:val="22"/>
              </w:rPr>
            </w:pPr>
            <w:r>
              <w:rPr>
                <w:b w:val="1"/>
                <w:bCs w:val="1"/>
                <w:sz w:val="22"/>
                <w:szCs w:val="22"/>
                <w:rtl w:val="0"/>
              </w:rPr>
              <w:t xml:space="preserve">Obiective și măsuri în regim de non-intervenție pentru habitatele forestiere</w:t>
            </w:r>
            <w:r>
              <w:rPr>
                <w:rtl w:val="0"/>
              </w:rPr>
            </w:r>
          </w:p>
          <w:p w:rsidR="00000000" w:rsidDel="00000000" w:rsidP="00000000" w:rsidRDefault="00000000" w:rsidRPr="00000000" w14:paraId="00000081">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82">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3">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4">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5">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6">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7">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8">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89">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A">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B">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C">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D">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E">
            <w:pPr>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8F">
            <w:pPr>
              <w:jc w:val="both"/>
              <w:rPr>
                <w:sz w:val="22"/>
                <w:szCs w:val="22"/>
              </w:rPr>
            </w:pPr>
            <w:r>
              <w:rPr>
                <w:b w:val="1"/>
                <w:bCs w:val="1"/>
                <w:sz w:val="22"/>
                <w:szCs w:val="22"/>
                <w:rtl w:val="0"/>
              </w:rPr>
              <w:t xml:space="preserve">Obiective și măsuri de non-intervenție pentru ecosistemele de peșteră (Peștera Măgurici – Clasa B)</w:t>
            </w:r>
            <w:r>
              <w:rPr>
                <w:rtl w:val="0"/>
              </w:rPr>
            </w:r>
          </w:p>
          <w:p w:rsidR="00000000" w:rsidDel="00000000" w:rsidP="00000000" w:rsidRDefault="00000000" w:rsidRPr="00000000" w14:paraId="00000090">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1">
            <w:pPr>
              <w:jc w:val="both"/>
              <w:rPr>
                <w:sz w:val="22"/>
                <w:szCs w:val="22"/>
              </w:rPr>
            </w:pPr>
            <w:r>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92">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3">
            <w:pPr>
              <w:jc w:val="both"/>
              <w:rPr>
                <w:sz w:val="22"/>
                <w:szCs w:val="22"/>
              </w:rPr>
            </w:pPr>
            <w:r>
              <w:rPr>
                <w:sz w:val="22"/>
                <w:szCs w:val="22"/>
                <w:rtl w:val="0"/>
              </w:rPr>
              <w:t xml:space="preserve">1. Menținerea în stare nealterată a microclimatului peșterilor și a sectoarelor de peșteri încadrate în Clasa A și B.</w:t>
            </w:r>
          </w:p>
          <w:p w:rsidR="00000000" w:rsidDel="00000000" w:rsidP="00000000" w:rsidRDefault="00000000" w:rsidRPr="00000000" w14:paraId="00000094">
            <w:pPr>
              <w:jc w:val="both"/>
              <w:rPr>
                <w:sz w:val="22"/>
                <w:szCs w:val="22"/>
              </w:rPr>
            </w:pPr>
            <w:r>
              <w:rPr>
                <w:sz w:val="22"/>
                <w:szCs w:val="22"/>
                <w:rtl w:val="0"/>
              </w:rPr>
              <w:t xml:space="preserve">2. Menținerea în stare nealterată a depozitelor sedimentare și a speleotemelor.</w:t>
            </w:r>
          </w:p>
          <w:p w:rsidR="00000000" w:rsidDel="00000000" w:rsidP="00000000" w:rsidRDefault="00000000" w:rsidRPr="00000000" w14:paraId="00000095">
            <w:pPr>
              <w:jc w:val="both"/>
              <w:rPr>
                <w:sz w:val="22"/>
                <w:szCs w:val="22"/>
              </w:rPr>
            </w:pPr>
            <w:r>
              <w:rPr>
                <w:sz w:val="22"/>
                <w:szCs w:val="22"/>
                <w:rtl w:val="0"/>
              </w:rPr>
              <w:t xml:space="preserve">3. Conservarea biodiversității specifice mediului cavernicol și a coloniilor de chiroptere.</w:t>
            </w:r>
          </w:p>
          <w:p w:rsidR="00000000" w:rsidDel="00000000" w:rsidP="00000000" w:rsidRDefault="00000000" w:rsidRPr="00000000" w14:paraId="00000096">
            <w:pPr>
              <w:jc w:val="both"/>
              <w:rPr>
                <w:sz w:val="22"/>
                <w:szCs w:val="22"/>
              </w:rPr>
            </w:pPr>
            <w:r>
              <w:rPr>
                <w:sz w:val="22"/>
                <w:szCs w:val="22"/>
                <w:rtl w:val="0"/>
              </w:rPr>
              <w:t xml:space="preserve">4. Limitarea strictă a accesului și a presiunilor antropice.</w:t>
            </w:r>
          </w:p>
          <w:p w:rsidR="00000000" w:rsidDel="00000000" w:rsidP="00000000" w:rsidRDefault="00000000" w:rsidRPr="00000000" w14:paraId="00000097">
            <w:pPr>
              <w:jc w:val="both"/>
              <w:rPr>
                <w:sz w:val="22"/>
                <w:szCs w:val="22"/>
              </w:rPr>
            </w:pPr>
            <w:r>
              <w:rPr>
                <w:sz w:val="22"/>
                <w:szCs w:val="22"/>
                <w:rtl w:val="0"/>
              </w:rPr>
              <w:t xml:space="preserve">5. Monitorizarea stării de conservare și a eventualelor degradări.</w:t>
            </w:r>
          </w:p>
          <w:p w:rsidR="00000000" w:rsidDel="00000000" w:rsidP="00000000" w:rsidRDefault="00000000" w:rsidRPr="00000000" w14:paraId="00000098">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99">
            <w:pPr>
              <w:jc w:val="both"/>
              <w:rPr>
                <w:sz w:val="22"/>
                <w:szCs w:val="22"/>
              </w:rPr>
            </w:pPr>
            <w:r>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09A">
            <w:pPr>
              <w:jc w:val="both"/>
              <w:rPr>
                <w:sz w:val="22"/>
                <w:szCs w:val="22"/>
              </w:rPr>
            </w:pPr>
            <w:r>
              <w:rPr>
                <w:sz w:val="22"/>
                <w:szCs w:val="22"/>
                <w:rtl w:val="0"/>
              </w:rPr>
              <w:t xml:space="preserve">2. Accesul publicului este interzis sau strict limitat în sectoarele sensibile ale peșterilor.</w:t>
            </w:r>
          </w:p>
          <w:p w:rsidR="00000000" w:rsidDel="00000000" w:rsidP="00000000" w:rsidRDefault="00000000" w:rsidRPr="00000000" w14:paraId="0000009B">
            <w:pPr>
              <w:jc w:val="both"/>
              <w:rPr>
                <w:sz w:val="22"/>
                <w:szCs w:val="22"/>
              </w:rPr>
            </w:pPr>
            <w:r>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09C">
            <w:pPr>
              <w:jc w:val="both"/>
              <w:rPr>
                <w:sz w:val="22"/>
                <w:szCs w:val="22"/>
              </w:rPr>
            </w:pPr>
            <w:r>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09D">
            <w:pPr>
              <w:jc w:val="both"/>
              <w:rPr>
                <w:sz w:val="22"/>
                <w:szCs w:val="22"/>
              </w:rPr>
            </w:pPr>
            <w:r>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09E">
            <w:pPr>
              <w:jc w:val="both"/>
              <w:rPr>
                <w:sz w:val="22"/>
                <w:szCs w:val="22"/>
              </w:rPr>
            </w:pPr>
            <w:r>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09F">
            <w:pPr>
              <w:jc w:val="both"/>
              <w:rPr>
                <w:sz w:val="22"/>
                <w:szCs w:val="22"/>
              </w:rPr>
            </w:pPr>
            <w:r>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0A0">
            <w:pPr>
              <w:jc w:val="both"/>
              <w:rPr>
                <w:sz w:val="22"/>
                <w:szCs w:val="22"/>
              </w:rPr>
            </w:pPr>
            <w:r>
              <w:rPr>
                <w:sz w:val="22"/>
                <w:szCs w:val="22"/>
                <w:rtl w:val="0"/>
              </w:rPr>
              <w:t xml:space="preserve">8. Se monitorizează periodic parametrii de microclimat, starea habitatelor și eventualele presiuni antropice sau degradări.</w:t>
            </w:r>
          </w:p>
          <w:p w:rsidR="00000000" w:rsidDel="00000000" w:rsidP="00000000" w:rsidRDefault="00000000" w:rsidRPr="00000000" w14:paraId="000000A1">
            <w:pPr>
              <w:spacing w:after="0" w:line="240" w:lineRule="auto"/>
              <w:jc w:val="both"/>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300" w:lineRule="auto"/>
              <w:rPr>
                <w:sz w:val="22"/>
                <w:szCs w:val="22"/>
              </w:rPr>
            </w:pPr>
            <w:r>
              <w:rPr>
                <w:sz w:val="22"/>
                <w:szCs w:val="22"/>
                <w:rtl w:val="0"/>
              </w:rPr>
              <w:t xml:space="preserve">Publică de stat</w:t>
            </w:r>
          </w:p>
        </w:tc>
      </w:tr>
    </w:tbl>
    <w:p w:rsidR="00000000" w:rsidDel="00000000" w:rsidP="00000000" w:rsidRDefault="00000000" w:rsidRPr="00000000" w14:paraId="000000A4">
      <w:pPr>
        <w:spacing w:after="0" w:line="300" w:lineRule="auto"/>
        <w:rPr>
          <w:sz w:val="22"/>
          <w:szCs w:val="22"/>
        </w:rPr>
      </w:pPr>
      <w:r>
        <w:rPr>
          <w:rtl w:val="0"/>
        </w:rPr>
      </w:r>
    </w:p>
    <w:p w:rsidR="00000000" w:rsidDel="00000000" w:rsidP="00000000" w:rsidRDefault="00000000" w:rsidRPr="00000000" w14:paraId="000000A5">
      <w:pPr>
        <w:spacing w:after="80" w:before="240" w:line="300" w:lineRule="auto"/>
        <w:jc w:val="center"/>
        <w:rPr>
          <w:b w:val="1"/>
          <w:bCs w:val="1"/>
          <w:sz w:val="22"/>
          <w:szCs w:val="22"/>
        </w:rPr>
      </w:pPr>
      <w:r>
        <w:rPr>
          <w:rtl w:val="0"/>
        </w:rPr>
      </w:r>
    </w:p>
    <w:p w:rsidR="00000000" w:rsidDel="00000000" w:rsidP="00000000" w:rsidRDefault="00000000" w:rsidRPr="00000000" w14:paraId="000000A6">
      <w:pPr>
        <w:spacing w:after="80" w:before="240" w:line="300" w:lineRule="auto"/>
        <w:jc w:val="center"/>
        <w:rPr>
          <w:b w:val="1"/>
          <w:bCs w:val="1"/>
          <w:sz w:val="22"/>
          <w:szCs w:val="22"/>
        </w:rPr>
      </w:pPr>
      <w:r>
        <w:rPr>
          <w:rtl w:val="0"/>
        </w:rPr>
      </w:r>
    </w:p>
    <w:p w:rsidR="00000000" w:rsidDel="00000000" w:rsidP="00000000" w:rsidRDefault="00000000" w:rsidRPr="00000000" w14:paraId="000000A7">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Bleahu, M. – Morfologia carstică, Ed. Ştiinţifică, 560 p., 1974</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Bleahu M., Povară I. – Catalogul peşterilor din România, Ed. CNEFS, Bucureşti, 55 p., 1976.</w:t>
      </w:r>
    </w:p>
    <w:p w:rsidR="00000000" w:rsidDel="00000000" w:rsidP="00000000" w:rsidRDefault="00000000" w:rsidRPr="00000000" w14:paraId="000000AA">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bookmarkStart w:colFirst="0" w:colLast="0" w:name="_heading=h.venjbad48mtw" w:id="0"/>
      <w:bookmarkEnd w:id="0"/>
      <w:r>
        <w:rPr>
          <w:sz w:val="22"/>
          <w:szCs w:val="22"/>
          <w:rtl w:val="0"/>
        </w:rPr>
        <w:t xml:space="preserve">Consultările publice  au fost realizate la: 19 iunie 2025 – online, jud. Sălaj. Ulterior, în cadrul procesului de consultare extins la nivel național, a avut loc consultări suplimentare online, în data de 30 ianuarie 2026, cu participarea factorilor interesați relevanți din județul Sălaj, iar în data de 12 februarie 2026 au avut loc consultări publice la Prefectura Sălaj.</w:t>
      </w:r>
    </w:p>
    <w:p w:rsidR="00000000" w:rsidDel="00000000" w:rsidP="00000000" w:rsidRDefault="00000000" w:rsidRPr="00000000" w14:paraId="000000AC">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AD">
      <w:pPr>
        <w:spacing w:after="0" w:line="300" w:lineRule="auto"/>
        <w:rPr>
          <w:sz w:val="22"/>
          <w:szCs w:val="22"/>
        </w:rPr>
      </w:pPr>
      <w:r>
        <w:rPr>
          <w:sz w:val="22"/>
          <w:szCs w:val="22"/>
          <w:rtl w:val="0"/>
        </w:rPr>
        <w:t xml:space="preserve">Limitele Zonelor Prioritare pentru Biodiversitate sunt disponibile în format digital: Link: </w:t>
      </w:r>
      <w:hyperlink r:id="rId7">
        <w:r>
          <w:rPr>
            <w:color w:val="0000ff"/>
            <w:sz w:val="22"/>
            <w:szCs w:val="22"/>
            <w:u w:val="single"/>
            <w:rtl w:val="0"/>
          </w:rPr>
          <w:t xml:space="preserve">https://mmediu.ro/domenii/mediu/arii-naturale-protejate/zpb-pnrr-i-3/</w:t>
        </w:r>
      </w:hyperlink>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94tVAWOjcCmRa06eeZFdwdugp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dmVuamJhZDQ4bXR3OAByITFtN0doZWpMVGRBclBKeWVHNVNXcEY0S21DUHF1aFVh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